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0F0E" w:rsidRPr="00CB55EE" w:rsidRDefault="009A0F0E" w:rsidP="009A0F0E">
      <w:pPr>
        <w:pStyle w:val="Heading1"/>
        <w:rPr>
          <w:rFonts w:ascii="Times New Roman" w:hAnsi="Times New Roman" w:cs="Times New Roman"/>
          <w:color w:val="auto"/>
          <w:lang w:val="en-US"/>
        </w:rPr>
      </w:pPr>
      <w:bookmarkStart w:id="0" w:name="_GoBack"/>
      <w:bookmarkEnd w:id="0"/>
      <w:r w:rsidRPr="00CB55EE">
        <w:rPr>
          <w:rFonts w:ascii="Times New Roman" w:hAnsi="Times New Roman" w:cs="Times New Roman"/>
          <w:color w:val="auto"/>
          <w:lang w:val="en-US"/>
        </w:rPr>
        <w:t>Figure Legend</w:t>
      </w:r>
      <w:r w:rsidR="00CB55EE" w:rsidRPr="00CB55EE">
        <w:rPr>
          <w:rFonts w:ascii="Times New Roman" w:hAnsi="Times New Roman" w:cs="Times New Roman"/>
          <w:color w:val="auto"/>
          <w:lang w:val="en-US"/>
        </w:rPr>
        <w:t xml:space="preserve"> for </w:t>
      </w:r>
      <w:r w:rsidR="00325C09">
        <w:rPr>
          <w:rFonts w:ascii="Times New Roman" w:hAnsi="Times New Roman" w:cs="Times New Roman"/>
          <w:color w:val="auto"/>
          <w:lang w:val="en-US"/>
        </w:rPr>
        <w:t>supplementary material</w:t>
      </w:r>
    </w:p>
    <w:p w:rsidR="009A0F0E" w:rsidRPr="00CB55EE" w:rsidRDefault="009A0F0E" w:rsidP="009A0F0E">
      <w:pPr>
        <w:rPr>
          <w:rFonts w:ascii="Times New Roman" w:hAnsi="Times New Roman" w:cs="Times New Roman"/>
          <w:lang w:val="en-US"/>
        </w:rPr>
      </w:pPr>
    </w:p>
    <w:p w:rsidR="00A84CB9" w:rsidRDefault="009A0F0E" w:rsidP="009A0F0E">
      <w:pPr>
        <w:pStyle w:val="Caption"/>
        <w:rPr>
          <w:i w:val="0"/>
          <w:color w:val="auto"/>
          <w:sz w:val="22"/>
          <w:szCs w:val="22"/>
          <w:lang w:val="en-GB"/>
        </w:rPr>
      </w:pPr>
      <w:r w:rsidRPr="009A0F0E">
        <w:rPr>
          <w:b/>
          <w:i w:val="0"/>
          <w:color w:val="auto"/>
          <w:sz w:val="22"/>
          <w:szCs w:val="22"/>
        </w:rPr>
        <w:t xml:space="preserve">Figure </w:t>
      </w:r>
      <w:r w:rsidR="00891ECC">
        <w:rPr>
          <w:b/>
          <w:i w:val="0"/>
          <w:color w:val="auto"/>
          <w:sz w:val="22"/>
          <w:szCs w:val="22"/>
        </w:rPr>
        <w:t>S</w:t>
      </w:r>
      <w:r w:rsidRPr="009A0F0E">
        <w:rPr>
          <w:b/>
          <w:i w:val="0"/>
          <w:color w:val="auto"/>
          <w:sz w:val="22"/>
          <w:szCs w:val="22"/>
        </w:rPr>
        <w:fldChar w:fldCharType="begin"/>
      </w:r>
      <w:r w:rsidRPr="009A0F0E">
        <w:rPr>
          <w:b/>
          <w:i w:val="0"/>
          <w:color w:val="auto"/>
          <w:sz w:val="22"/>
          <w:szCs w:val="22"/>
        </w:rPr>
        <w:instrText xml:space="preserve"> SEQ Figur \* ARABIC </w:instrText>
      </w:r>
      <w:r w:rsidRPr="009A0F0E">
        <w:rPr>
          <w:b/>
          <w:i w:val="0"/>
          <w:color w:val="auto"/>
          <w:sz w:val="22"/>
          <w:szCs w:val="22"/>
        </w:rPr>
        <w:fldChar w:fldCharType="separate"/>
      </w:r>
      <w:r w:rsidRPr="009A0F0E">
        <w:rPr>
          <w:b/>
          <w:i w:val="0"/>
          <w:noProof/>
          <w:color w:val="auto"/>
          <w:sz w:val="22"/>
          <w:szCs w:val="22"/>
        </w:rPr>
        <w:t>1</w:t>
      </w:r>
      <w:r w:rsidRPr="009A0F0E">
        <w:rPr>
          <w:b/>
          <w:i w:val="0"/>
          <w:color w:val="auto"/>
          <w:sz w:val="22"/>
          <w:szCs w:val="22"/>
        </w:rPr>
        <w:fldChar w:fldCharType="end"/>
      </w:r>
      <w:r w:rsidRPr="009A0F0E">
        <w:rPr>
          <w:b/>
          <w:i w:val="0"/>
          <w:color w:val="auto"/>
          <w:sz w:val="22"/>
          <w:szCs w:val="22"/>
        </w:rPr>
        <w:t>.</w:t>
      </w:r>
      <w:r w:rsidRPr="009A0F0E">
        <w:rPr>
          <w:i w:val="0"/>
          <w:color w:val="auto"/>
          <w:sz w:val="22"/>
          <w:szCs w:val="22"/>
        </w:rPr>
        <w:t xml:space="preserve"> </w:t>
      </w:r>
      <w:r w:rsidR="00891ECC" w:rsidRPr="00891ECC">
        <w:rPr>
          <w:i w:val="0"/>
          <w:color w:val="auto"/>
          <w:sz w:val="22"/>
        </w:rPr>
        <w:t xml:space="preserve">(Left) DVHs for dose painting prescriptions of the test set patient with the highest TCP increase of 30% (shown in the main paper in Fig. 6 Left). (Right) DVHs for dose painting prescriptions of the test set patient with the lowest TCP increase of 4% (shown in the main paper in Fig 6 Right). For both graphs, the gray line represents the DVH for the original voxelization (given by Eq.3, denoted with “orig.”) and the black line the DVH for the modified </w:t>
      </w:r>
      <w:proofErr w:type="spellStart"/>
      <w:r w:rsidR="00891ECC" w:rsidRPr="00891ECC">
        <w:rPr>
          <w:i w:val="0"/>
          <w:color w:val="auto"/>
          <w:sz w:val="22"/>
        </w:rPr>
        <w:t>voxelization</w:t>
      </w:r>
      <w:proofErr w:type="spellEnd"/>
      <w:r w:rsidR="00891ECC" w:rsidRPr="00891ECC">
        <w:rPr>
          <w:i w:val="0"/>
          <w:color w:val="auto"/>
          <w:sz w:val="22"/>
        </w:rPr>
        <w:t xml:space="preserve"> (denoted “</w:t>
      </w:r>
      <w:proofErr w:type="spellStart"/>
      <w:r w:rsidR="00891ECC" w:rsidRPr="00891ECC">
        <w:rPr>
          <w:i w:val="0"/>
          <w:color w:val="auto"/>
          <w:sz w:val="22"/>
        </w:rPr>
        <w:t>modif</w:t>
      </w:r>
      <w:proofErr w:type="spellEnd"/>
      <w:r w:rsidR="00891ECC" w:rsidRPr="00891ECC">
        <w:rPr>
          <w:i w:val="0"/>
          <w:color w:val="auto"/>
          <w:sz w:val="22"/>
        </w:rPr>
        <w:t xml:space="preserve">.”). Also shown in both graphs is the expected </w:t>
      </w:r>
      <w:r w:rsidR="00891ECC" w:rsidRPr="00891ECC">
        <w:rPr>
          <w:i w:val="0"/>
          <w:color w:val="auto"/>
          <w:position w:val="-10"/>
          <w:sz w:val="22"/>
        </w:rPr>
        <w:object w:dxaOrig="7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5pt;height:16.5pt" o:ole="">
            <v:imagedata r:id="rId4" o:title=""/>
          </v:shape>
          <o:OLEObject Type="Embed" ProgID="Equation.DSMT4" ShapeID="_x0000_i1025" DrawAspect="Content" ObjectID="_1574685905" r:id="rId5"/>
        </w:object>
      </w:r>
      <w:r w:rsidR="00891ECC" w:rsidRPr="00891ECC">
        <w:rPr>
          <w:i w:val="0"/>
          <w:color w:val="auto"/>
          <w:sz w:val="22"/>
        </w:rPr>
        <w:t xml:space="preserve"> for a homogeneous dose of </w:t>
      </w:r>
      <w:r w:rsidR="00891ECC" w:rsidRPr="00891ECC">
        <w:rPr>
          <w:i w:val="0"/>
          <w:color w:val="auto"/>
          <w:position w:val="-10"/>
          <w:sz w:val="22"/>
        </w:rPr>
        <w:object w:dxaOrig="940" w:dyaOrig="320">
          <v:shape id="_x0000_i1026" type="#_x0000_t75" style="width:46.5pt;height:16.5pt" o:ole="">
            <v:imagedata r:id="rId6" o:title=""/>
          </v:shape>
          <o:OLEObject Type="Embed" ProgID="Equation.DSMT4" ShapeID="_x0000_i1026" DrawAspect="Content" ObjectID="_1574685906" r:id="rId7"/>
        </w:object>
      </w:r>
      <w:r w:rsidR="00891ECC" w:rsidRPr="00891ECC">
        <w:rPr>
          <w:i w:val="0"/>
          <w:color w:val="auto"/>
          <w:sz w:val="22"/>
        </w:rPr>
        <w:t xml:space="preserve"> </w:t>
      </w:r>
      <w:proofErr w:type="spellStart"/>
      <w:r w:rsidR="00891ECC" w:rsidRPr="00891ECC">
        <w:rPr>
          <w:i w:val="0"/>
          <w:color w:val="auto"/>
          <w:sz w:val="22"/>
        </w:rPr>
        <w:t>Gy</w:t>
      </w:r>
      <w:proofErr w:type="spellEnd"/>
      <w:r w:rsidR="00891ECC" w:rsidRPr="00891ECC">
        <w:rPr>
          <w:i w:val="0"/>
          <w:color w:val="auto"/>
          <w:sz w:val="22"/>
        </w:rPr>
        <w:t xml:space="preserve"> and the expected </w:t>
      </w:r>
      <w:r w:rsidR="00891ECC" w:rsidRPr="00891ECC">
        <w:rPr>
          <w:i w:val="0"/>
          <w:color w:val="auto"/>
          <w:position w:val="-14"/>
          <w:sz w:val="22"/>
        </w:rPr>
        <w:object w:dxaOrig="580" w:dyaOrig="360">
          <v:shape id="_x0000_i1027" type="#_x0000_t75" style="width:29.25pt;height:18.75pt" o:ole="">
            <v:imagedata r:id="rId8" o:title=""/>
          </v:shape>
          <o:OLEObject Type="Embed" ProgID="Equation.DSMT4" ShapeID="_x0000_i1027" DrawAspect="Content" ObjectID="_1574685907" r:id="rId9"/>
        </w:object>
      </w:r>
      <w:r w:rsidR="00891ECC" w:rsidRPr="00891ECC">
        <w:rPr>
          <w:i w:val="0"/>
          <w:color w:val="auto"/>
          <w:sz w:val="22"/>
        </w:rPr>
        <w:t>for the dose painting prescriptions.</w:t>
      </w:r>
    </w:p>
    <w:sectPr w:rsidR="00A84CB9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F0E"/>
    <w:rsid w:val="00325C09"/>
    <w:rsid w:val="00610F80"/>
    <w:rsid w:val="007416A2"/>
    <w:rsid w:val="00891ECC"/>
    <w:rsid w:val="009608D0"/>
    <w:rsid w:val="009A0F0E"/>
    <w:rsid w:val="00A84CB9"/>
    <w:rsid w:val="00CB3F30"/>
    <w:rsid w:val="00CB55EE"/>
    <w:rsid w:val="00D33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96D945-9FD2-4A48-8949-56F869123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A0F0E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0F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9A0F0E"/>
    <w:pPr>
      <w:tabs>
        <w:tab w:val="center" w:pos="4540"/>
        <w:tab w:val="right" w:pos="9080"/>
      </w:tabs>
      <w:spacing w:after="200" w:line="240" w:lineRule="auto"/>
    </w:pPr>
    <w:rPr>
      <w:rFonts w:ascii="Times New Roman" w:hAnsi="Times New Roman" w:cs="Times New Roman"/>
      <w:i/>
      <w:iCs/>
      <w:color w:val="44546A" w:themeColor="text2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33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oleObject" Target="embeddings/oleObject1.bin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</dc:creator>
  <cp:keywords/>
  <dc:description/>
  <cp:lastModifiedBy>Laxmi S. Dharmapuri</cp:lastModifiedBy>
  <cp:revision>2</cp:revision>
  <dcterms:created xsi:type="dcterms:W3CDTF">2017-12-13T10:27:00Z</dcterms:created>
  <dcterms:modified xsi:type="dcterms:W3CDTF">2017-12-13T10:27:00Z</dcterms:modified>
</cp:coreProperties>
</file>